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FA" w:rsidRPr="003B24FA" w:rsidRDefault="003B24FA" w:rsidP="003B24FA">
      <w:pPr>
        <w:pBdr>
          <w:bottom w:val="single" w:sz="4" w:space="1" w:color="auto"/>
        </w:pBdr>
        <w:rPr>
          <w:b/>
          <w:sz w:val="16"/>
          <w:szCs w:val="16"/>
        </w:rPr>
      </w:pPr>
      <w:r w:rsidRPr="003B24FA">
        <w:rPr>
          <w:b/>
          <w:sz w:val="16"/>
          <w:szCs w:val="16"/>
        </w:rPr>
        <w:t>NORMA para establecer la estructura de información de la relación de las cuentas bancarias productivas específicas que se presentan en la cuenta pública, en las cuales se depositen los recursos federales transferidos.</w:t>
      </w:r>
    </w:p>
    <w:p w:rsidR="003B24FA" w:rsidRDefault="003B24FA">
      <w:pPr>
        <w:rPr>
          <w:sz w:val="14"/>
          <w:szCs w:val="14"/>
        </w:rPr>
      </w:pPr>
    </w:p>
    <w:p w:rsidR="009979D5" w:rsidRPr="00275850" w:rsidRDefault="003B24FA">
      <w:pPr>
        <w:rPr>
          <w:sz w:val="18"/>
          <w:szCs w:val="18"/>
        </w:rPr>
      </w:pPr>
      <w:r w:rsidRPr="00275850">
        <w:rPr>
          <w:sz w:val="18"/>
          <w:szCs w:val="18"/>
        </w:rPr>
        <w:t>Con fundamento en los artículos 9, fracciones I y IX, 14 y 69 de la Ley General de Contabilidad Gubernamental y Cuarto Transitorio del Decreto por el que se reforma y adiciona la Ley General de Contabilidad Gubernamental, para transparentar y armonizar la información financiera relativa a la aplicación de recursos públicos en los distintos órdenes de gobierno publicado en el Diario Oficial de la Federación el 12 de noviembre de 2012</w:t>
      </w:r>
    </w:p>
    <w:p w:rsidR="00714EE8" w:rsidRDefault="00714EE8"/>
    <w:tbl>
      <w:tblPr>
        <w:tblpPr w:leftFromText="141" w:rightFromText="141" w:vertAnchor="text" w:horzAnchor="margin" w:tblpXSpec="center" w:tblpY="-25"/>
        <w:tblW w:w="7520" w:type="dxa"/>
        <w:tblCellMar>
          <w:left w:w="70" w:type="dxa"/>
          <w:right w:w="70" w:type="dxa"/>
        </w:tblCellMar>
        <w:tblLook w:val="04A0"/>
      </w:tblPr>
      <w:tblGrid>
        <w:gridCol w:w="3200"/>
        <w:gridCol w:w="1200"/>
        <w:gridCol w:w="3120"/>
      </w:tblGrid>
      <w:tr w:rsidR="006578EE" w:rsidRPr="003B24FA" w:rsidTr="006578EE">
        <w:trPr>
          <w:trHeight w:val="360"/>
        </w:trPr>
        <w:tc>
          <w:tcPr>
            <w:tcW w:w="752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6578EE" w:rsidRPr="003B24FA" w:rsidRDefault="006578EE" w:rsidP="006578EE">
            <w:pPr>
              <w:jc w:val="center"/>
              <w:rPr>
                <w:rFonts w:ascii="Arial" w:hAnsi="Arial" w:cs="Arial"/>
                <w:color w:val="000000"/>
                <w:sz w:val="27"/>
                <w:szCs w:val="27"/>
                <w:lang w:val="es-MX"/>
              </w:rPr>
            </w:pPr>
            <w:r w:rsidRPr="003B24FA">
              <w:rPr>
                <w:rFonts w:ascii="Arial" w:hAnsi="Arial" w:cs="Arial"/>
                <w:color w:val="000000"/>
                <w:sz w:val="27"/>
                <w:szCs w:val="27"/>
              </w:rPr>
              <w:t>Municipio de San Joaquín Querétaro</w:t>
            </w:r>
          </w:p>
        </w:tc>
      </w:tr>
      <w:tr w:rsidR="006578EE" w:rsidRPr="003B24FA" w:rsidTr="002D5F3C">
        <w:trPr>
          <w:trHeight w:val="360"/>
        </w:trPr>
        <w:tc>
          <w:tcPr>
            <w:tcW w:w="7520" w:type="dxa"/>
            <w:gridSpan w:val="3"/>
            <w:tcBorders>
              <w:top w:val="nil"/>
              <w:left w:val="single" w:sz="8" w:space="0" w:color="auto"/>
              <w:bottom w:val="nil"/>
              <w:right w:val="single" w:sz="8" w:space="0" w:color="000000"/>
            </w:tcBorders>
            <w:shd w:val="clear" w:color="auto" w:fill="auto"/>
            <w:noWrap/>
            <w:vAlign w:val="center"/>
            <w:hideMark/>
          </w:tcPr>
          <w:p w:rsidR="006578EE" w:rsidRPr="003B24FA" w:rsidRDefault="006578EE" w:rsidP="006578EE">
            <w:pPr>
              <w:jc w:val="center"/>
              <w:rPr>
                <w:rFonts w:ascii="Arial" w:hAnsi="Arial" w:cs="Arial"/>
                <w:color w:val="000000"/>
                <w:sz w:val="14"/>
                <w:szCs w:val="14"/>
                <w:lang w:val="es-MX"/>
              </w:rPr>
            </w:pPr>
            <w:r w:rsidRPr="003B24FA">
              <w:rPr>
                <w:rFonts w:ascii="Arial" w:hAnsi="Arial" w:cs="Arial"/>
                <w:color w:val="000000"/>
                <w:sz w:val="14"/>
                <w:szCs w:val="14"/>
              </w:rPr>
              <w:t>Relación de cuentas bancarias productivas específicas</w:t>
            </w:r>
          </w:p>
        </w:tc>
      </w:tr>
      <w:tr w:rsidR="006578EE" w:rsidRPr="003B24FA" w:rsidTr="002D5F3C">
        <w:trPr>
          <w:trHeight w:val="345"/>
        </w:trPr>
        <w:tc>
          <w:tcPr>
            <w:tcW w:w="7520" w:type="dxa"/>
            <w:gridSpan w:val="3"/>
            <w:tcBorders>
              <w:top w:val="nil"/>
              <w:left w:val="single" w:sz="8" w:space="0" w:color="auto"/>
              <w:bottom w:val="nil"/>
              <w:right w:val="single" w:sz="8" w:space="0" w:color="000000"/>
            </w:tcBorders>
            <w:shd w:val="clear" w:color="auto" w:fill="auto"/>
            <w:noWrap/>
            <w:vAlign w:val="center"/>
            <w:hideMark/>
          </w:tcPr>
          <w:p w:rsidR="006578EE" w:rsidRPr="003B24FA" w:rsidRDefault="006578EE" w:rsidP="006578EE">
            <w:pPr>
              <w:jc w:val="center"/>
              <w:rPr>
                <w:rFonts w:ascii="Arial" w:hAnsi="Arial" w:cs="Arial"/>
                <w:color w:val="000000"/>
                <w:sz w:val="14"/>
                <w:szCs w:val="14"/>
                <w:lang w:val="es-MX"/>
              </w:rPr>
            </w:pPr>
            <w:r w:rsidRPr="003B24FA">
              <w:rPr>
                <w:rFonts w:ascii="Arial" w:hAnsi="Arial" w:cs="Arial"/>
                <w:color w:val="000000"/>
                <w:sz w:val="14"/>
                <w:szCs w:val="14"/>
              </w:rPr>
              <w:t>Periodo (anual): 201</w:t>
            </w:r>
            <w:r>
              <w:rPr>
                <w:rFonts w:ascii="Arial" w:hAnsi="Arial" w:cs="Arial"/>
                <w:color w:val="000000"/>
                <w:sz w:val="14"/>
                <w:szCs w:val="14"/>
              </w:rPr>
              <w:t>8</w:t>
            </w:r>
          </w:p>
        </w:tc>
      </w:tr>
      <w:tr w:rsidR="006578EE" w:rsidRPr="003B24FA" w:rsidTr="006578EE">
        <w:trPr>
          <w:trHeight w:val="66"/>
        </w:trPr>
        <w:tc>
          <w:tcPr>
            <w:tcW w:w="7520" w:type="dxa"/>
            <w:gridSpan w:val="3"/>
            <w:tcBorders>
              <w:top w:val="nil"/>
              <w:left w:val="single" w:sz="8" w:space="0" w:color="auto"/>
              <w:bottom w:val="nil"/>
              <w:right w:val="single" w:sz="8" w:space="0" w:color="000000"/>
            </w:tcBorders>
            <w:shd w:val="clear" w:color="auto" w:fill="auto"/>
            <w:noWrap/>
            <w:vAlign w:val="center"/>
            <w:hideMark/>
          </w:tcPr>
          <w:p w:rsidR="006578EE" w:rsidRPr="003B24FA" w:rsidRDefault="006578EE" w:rsidP="006578EE">
            <w:pPr>
              <w:jc w:val="center"/>
              <w:rPr>
                <w:rFonts w:ascii="Arial" w:hAnsi="Arial" w:cs="Arial"/>
                <w:color w:val="000000"/>
                <w:sz w:val="14"/>
                <w:szCs w:val="14"/>
                <w:lang w:val="es-MX"/>
              </w:rPr>
            </w:pPr>
          </w:p>
        </w:tc>
      </w:tr>
      <w:tr w:rsidR="006578EE" w:rsidRPr="003B24FA" w:rsidTr="006578EE">
        <w:trPr>
          <w:trHeight w:val="66"/>
        </w:trPr>
        <w:tc>
          <w:tcPr>
            <w:tcW w:w="7520" w:type="dxa"/>
            <w:gridSpan w:val="3"/>
            <w:tcBorders>
              <w:top w:val="nil"/>
              <w:left w:val="single" w:sz="8" w:space="0" w:color="auto"/>
              <w:bottom w:val="single" w:sz="8" w:space="0" w:color="auto"/>
              <w:right w:val="single" w:sz="8" w:space="0" w:color="000000"/>
            </w:tcBorders>
            <w:shd w:val="clear" w:color="auto" w:fill="auto"/>
            <w:noWrap/>
            <w:vAlign w:val="center"/>
            <w:hideMark/>
          </w:tcPr>
          <w:p w:rsidR="006578EE" w:rsidRPr="003B24FA" w:rsidRDefault="006578EE" w:rsidP="006578EE">
            <w:pPr>
              <w:jc w:val="center"/>
              <w:rPr>
                <w:rFonts w:ascii="Arial" w:hAnsi="Arial" w:cs="Arial"/>
                <w:color w:val="000000"/>
                <w:sz w:val="14"/>
                <w:szCs w:val="14"/>
                <w:lang w:val="es-MX"/>
              </w:rPr>
            </w:pPr>
          </w:p>
        </w:tc>
      </w:tr>
      <w:tr w:rsidR="006578EE" w:rsidRPr="003B24FA" w:rsidTr="006578EE">
        <w:trPr>
          <w:trHeight w:val="315"/>
        </w:trPr>
        <w:tc>
          <w:tcPr>
            <w:tcW w:w="3200" w:type="dxa"/>
            <w:vMerge w:val="restart"/>
            <w:tcBorders>
              <w:top w:val="nil"/>
              <w:left w:val="single" w:sz="8" w:space="0" w:color="auto"/>
              <w:bottom w:val="single" w:sz="8" w:space="0" w:color="000000"/>
              <w:right w:val="single" w:sz="8" w:space="0" w:color="auto"/>
            </w:tcBorders>
            <w:shd w:val="clear" w:color="auto" w:fill="auto"/>
            <w:vAlign w:val="center"/>
            <w:hideMark/>
          </w:tcPr>
          <w:p w:rsidR="006578EE" w:rsidRPr="003B24FA" w:rsidRDefault="006578EE" w:rsidP="006578EE">
            <w:pPr>
              <w:jc w:val="center"/>
              <w:rPr>
                <w:rFonts w:ascii="Arial" w:hAnsi="Arial" w:cs="Arial"/>
                <w:b/>
                <w:bCs/>
                <w:color w:val="000000"/>
                <w:sz w:val="14"/>
                <w:szCs w:val="14"/>
                <w:lang w:val="es-MX"/>
              </w:rPr>
            </w:pPr>
            <w:r w:rsidRPr="003B24FA">
              <w:rPr>
                <w:rFonts w:ascii="Arial" w:hAnsi="Arial" w:cs="Arial"/>
                <w:b/>
                <w:bCs/>
                <w:color w:val="000000"/>
                <w:sz w:val="14"/>
                <w:szCs w:val="14"/>
              </w:rPr>
              <w:t>Fondo, Programa o Convenio</w:t>
            </w:r>
          </w:p>
        </w:tc>
        <w:tc>
          <w:tcPr>
            <w:tcW w:w="4320" w:type="dxa"/>
            <w:gridSpan w:val="2"/>
            <w:tcBorders>
              <w:top w:val="single" w:sz="8" w:space="0" w:color="auto"/>
              <w:left w:val="nil"/>
              <w:bottom w:val="single" w:sz="8" w:space="0" w:color="auto"/>
              <w:right w:val="single" w:sz="8" w:space="0" w:color="000000"/>
            </w:tcBorders>
            <w:shd w:val="clear" w:color="auto" w:fill="auto"/>
            <w:vAlign w:val="center"/>
            <w:hideMark/>
          </w:tcPr>
          <w:p w:rsidR="006578EE" w:rsidRPr="003B24FA" w:rsidRDefault="006578EE" w:rsidP="006578EE">
            <w:pPr>
              <w:jc w:val="center"/>
              <w:rPr>
                <w:rFonts w:ascii="Arial" w:hAnsi="Arial" w:cs="Arial"/>
                <w:b/>
                <w:bCs/>
                <w:color w:val="000000"/>
                <w:sz w:val="14"/>
                <w:szCs w:val="14"/>
                <w:lang w:val="es-MX"/>
              </w:rPr>
            </w:pPr>
            <w:r w:rsidRPr="003B24FA">
              <w:rPr>
                <w:rFonts w:ascii="Arial" w:hAnsi="Arial" w:cs="Arial"/>
                <w:b/>
                <w:bCs/>
                <w:color w:val="000000"/>
                <w:sz w:val="14"/>
                <w:szCs w:val="14"/>
              </w:rPr>
              <w:t>Datos de la Cuenta Bancaria</w:t>
            </w:r>
          </w:p>
        </w:tc>
      </w:tr>
      <w:tr w:rsidR="006578EE" w:rsidRPr="003B24FA" w:rsidTr="006578EE">
        <w:trPr>
          <w:trHeight w:val="375"/>
        </w:trPr>
        <w:tc>
          <w:tcPr>
            <w:tcW w:w="3200" w:type="dxa"/>
            <w:vMerge/>
            <w:tcBorders>
              <w:top w:val="nil"/>
              <w:left w:val="single" w:sz="8" w:space="0" w:color="auto"/>
              <w:bottom w:val="single" w:sz="8" w:space="0" w:color="000000"/>
              <w:right w:val="single" w:sz="8" w:space="0" w:color="auto"/>
            </w:tcBorders>
            <w:vAlign w:val="center"/>
            <w:hideMark/>
          </w:tcPr>
          <w:p w:rsidR="006578EE" w:rsidRPr="003B24FA" w:rsidRDefault="006578EE" w:rsidP="006578EE">
            <w:pPr>
              <w:rPr>
                <w:rFonts w:ascii="Arial" w:hAnsi="Arial" w:cs="Arial"/>
                <w:b/>
                <w:bCs/>
                <w:color w:val="000000"/>
                <w:sz w:val="14"/>
                <w:szCs w:val="14"/>
                <w:lang w:val="es-MX"/>
              </w:rPr>
            </w:pPr>
          </w:p>
        </w:tc>
        <w:tc>
          <w:tcPr>
            <w:tcW w:w="1200" w:type="dxa"/>
            <w:tcBorders>
              <w:top w:val="nil"/>
              <w:left w:val="nil"/>
              <w:bottom w:val="single" w:sz="8" w:space="0" w:color="auto"/>
              <w:right w:val="single" w:sz="8" w:space="0" w:color="auto"/>
            </w:tcBorders>
            <w:shd w:val="clear" w:color="auto" w:fill="auto"/>
            <w:vAlign w:val="center"/>
            <w:hideMark/>
          </w:tcPr>
          <w:p w:rsidR="006578EE" w:rsidRPr="003B24FA" w:rsidRDefault="006578EE" w:rsidP="006578EE">
            <w:pPr>
              <w:jc w:val="center"/>
              <w:rPr>
                <w:rFonts w:ascii="Arial" w:hAnsi="Arial" w:cs="Arial"/>
                <w:b/>
                <w:bCs/>
                <w:color w:val="000000"/>
                <w:sz w:val="14"/>
                <w:szCs w:val="14"/>
                <w:lang w:val="es-MX"/>
              </w:rPr>
            </w:pPr>
            <w:r w:rsidRPr="003B24FA">
              <w:rPr>
                <w:rFonts w:ascii="Arial" w:hAnsi="Arial" w:cs="Arial"/>
                <w:b/>
                <w:bCs/>
                <w:color w:val="000000"/>
                <w:sz w:val="14"/>
                <w:szCs w:val="14"/>
              </w:rPr>
              <w:t>Institución Bancaria</w:t>
            </w:r>
          </w:p>
        </w:tc>
        <w:tc>
          <w:tcPr>
            <w:tcW w:w="3120" w:type="dxa"/>
            <w:tcBorders>
              <w:top w:val="nil"/>
              <w:left w:val="nil"/>
              <w:bottom w:val="single" w:sz="8" w:space="0" w:color="auto"/>
              <w:right w:val="single" w:sz="8" w:space="0" w:color="auto"/>
            </w:tcBorders>
            <w:shd w:val="clear" w:color="auto" w:fill="auto"/>
            <w:vAlign w:val="center"/>
            <w:hideMark/>
          </w:tcPr>
          <w:p w:rsidR="006578EE" w:rsidRPr="003B24FA" w:rsidRDefault="006578EE" w:rsidP="006578EE">
            <w:pPr>
              <w:jc w:val="center"/>
              <w:rPr>
                <w:rFonts w:ascii="Arial" w:hAnsi="Arial" w:cs="Arial"/>
                <w:b/>
                <w:bCs/>
                <w:color w:val="000000"/>
                <w:sz w:val="14"/>
                <w:szCs w:val="14"/>
                <w:lang w:val="es-MX"/>
              </w:rPr>
            </w:pPr>
            <w:r w:rsidRPr="003B24FA">
              <w:rPr>
                <w:rFonts w:ascii="Arial" w:hAnsi="Arial" w:cs="Arial"/>
                <w:b/>
                <w:bCs/>
                <w:color w:val="000000"/>
                <w:sz w:val="14"/>
                <w:szCs w:val="14"/>
              </w:rPr>
              <w:t>Número de Cuenta</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FM</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65-50066661-8</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TELEBACHILLERATO COMUNITARIO</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22-00057855-3</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PARTICIPACIONES 2017</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65-50596769-5</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 xml:space="preserve">GASTO CORRIENTE </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0104753143</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INGRESOS PROPIOS</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22-00056448-1</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CONTROL Y CONFIANZA FASP 2017</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0111039350</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FONDO DE FORTALECIMIENTO FINANCIERO PARA INVERSION 2017</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0111159100</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PARTICIPACIONES 2018</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65-50650899-5</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FORTAMUN 2018</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Santander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22-00061801-5</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FISM 2018</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0111261681</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AGUINALDO 2018</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0111373676</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FONDO DE AHORRO 2018</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0111373641</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CONCENTRADORA DE RETENCIONES OBRAS PUBLICAS 2017</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0110952524</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PROII 2018</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0111560328</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GEQ 2018</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0111560336</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PROGRAMA DE DESARROLLO REGIONAL 2018</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0111617117</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3 X 1 CONSTRUCCION Y REHABILITACION DE CENTRO DE DESARROLLO</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0111615300</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 xml:space="preserve">3 X 1 CONSTRUCCION MURO DE CONTENCIÓN </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0111615742</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3 X 1 PAVIMENTACION DE CALLE</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0111615831</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3 X 1 REHABILITACION DE CALLES</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0111615572</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3 X 1 PAVIMENTACION DE CALLE</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0111615963</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 xml:space="preserve">3 X 1 CONSTRUCCION MURO DE CONTENCIÓN </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0111615998</w:t>
            </w:r>
          </w:p>
        </w:tc>
      </w:tr>
      <w:tr w:rsidR="006578EE" w:rsidRPr="003B24FA"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FISE 2018</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0111682644</w:t>
            </w:r>
          </w:p>
        </w:tc>
      </w:tr>
      <w:tr w:rsidR="006578EE" w:rsidRPr="007F30AB"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FORTALECIMIENTO FINANCIERO PARA INVERSION 2018</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0111682504</w:t>
            </w:r>
          </w:p>
        </w:tc>
      </w:tr>
      <w:tr w:rsidR="006578EE" w:rsidRPr="007F30AB"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FONDOS AJENOS TELEBACHILLERATO COMINITARIO 2018</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0111900951</w:t>
            </w:r>
          </w:p>
        </w:tc>
      </w:tr>
      <w:tr w:rsidR="006578EE" w:rsidRPr="007F30AB" w:rsidTr="006578EE">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6578EE" w:rsidRPr="006578EE" w:rsidRDefault="006578EE" w:rsidP="006578EE">
            <w:pPr>
              <w:rPr>
                <w:rFonts w:ascii="Calibri" w:hAnsi="Calibri" w:cs="Calibri"/>
                <w:color w:val="000000"/>
                <w:sz w:val="16"/>
                <w:szCs w:val="16"/>
              </w:rPr>
            </w:pPr>
            <w:r w:rsidRPr="006578EE">
              <w:rPr>
                <w:rFonts w:ascii="Calibri" w:hAnsi="Calibri" w:cs="Calibri"/>
                <w:color w:val="000000"/>
                <w:sz w:val="16"/>
                <w:szCs w:val="16"/>
              </w:rPr>
              <w:t>FAFEF 2018</w:t>
            </w:r>
          </w:p>
        </w:tc>
        <w:tc>
          <w:tcPr>
            <w:tcW w:w="120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sz w:val="16"/>
                <w:szCs w:val="16"/>
              </w:rPr>
            </w:pPr>
            <w:r w:rsidRPr="006578EE">
              <w:rPr>
                <w:rFonts w:ascii="Calibri" w:hAnsi="Calibri" w:cs="Calibri"/>
                <w:sz w:val="16"/>
                <w:szCs w:val="16"/>
              </w:rPr>
              <w:t>Bancomer</w:t>
            </w:r>
          </w:p>
        </w:tc>
        <w:tc>
          <w:tcPr>
            <w:tcW w:w="3120" w:type="dxa"/>
            <w:tcBorders>
              <w:top w:val="nil"/>
              <w:left w:val="nil"/>
              <w:bottom w:val="single" w:sz="8" w:space="0" w:color="auto"/>
              <w:right w:val="single" w:sz="8" w:space="0" w:color="auto"/>
            </w:tcBorders>
            <w:shd w:val="clear" w:color="auto" w:fill="auto"/>
            <w:vAlign w:val="center"/>
            <w:hideMark/>
          </w:tcPr>
          <w:p w:rsidR="006578EE" w:rsidRPr="006578EE" w:rsidRDefault="006578EE" w:rsidP="006578EE">
            <w:pPr>
              <w:jc w:val="center"/>
              <w:rPr>
                <w:rFonts w:ascii="Calibri" w:hAnsi="Calibri" w:cs="Calibri"/>
                <w:color w:val="000000"/>
                <w:sz w:val="16"/>
                <w:szCs w:val="16"/>
              </w:rPr>
            </w:pPr>
            <w:r w:rsidRPr="006578EE">
              <w:rPr>
                <w:rFonts w:ascii="Calibri" w:hAnsi="Calibri" w:cs="Calibri"/>
                <w:color w:val="000000"/>
                <w:sz w:val="16"/>
                <w:szCs w:val="16"/>
              </w:rPr>
              <w:t>0</w:t>
            </w:r>
            <w:r w:rsidR="00C95A90">
              <w:rPr>
                <w:rFonts w:ascii="Calibri" w:hAnsi="Calibri" w:cs="Calibri"/>
                <w:color w:val="000000"/>
                <w:sz w:val="16"/>
                <w:szCs w:val="16"/>
              </w:rPr>
              <w:t>112044854</w:t>
            </w:r>
          </w:p>
        </w:tc>
      </w:tr>
    </w:tbl>
    <w:p w:rsidR="003B24FA" w:rsidRDefault="003B24FA"/>
    <w:p w:rsidR="003B24FA" w:rsidRDefault="003B24FA"/>
    <w:p w:rsidR="003B24FA" w:rsidRDefault="003B24FA"/>
    <w:p w:rsidR="00C0431B" w:rsidRDefault="00C0431B"/>
    <w:sectPr w:rsidR="00C0431B" w:rsidSect="00714EE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9979D5"/>
    <w:rsid w:val="000818D0"/>
    <w:rsid w:val="001B58F7"/>
    <w:rsid w:val="002020BA"/>
    <w:rsid w:val="00256B83"/>
    <w:rsid w:val="00275850"/>
    <w:rsid w:val="002A2507"/>
    <w:rsid w:val="00326697"/>
    <w:rsid w:val="00351A70"/>
    <w:rsid w:val="003B24FA"/>
    <w:rsid w:val="00432EA8"/>
    <w:rsid w:val="004E7968"/>
    <w:rsid w:val="00641CDB"/>
    <w:rsid w:val="0064430D"/>
    <w:rsid w:val="00653742"/>
    <w:rsid w:val="006578EE"/>
    <w:rsid w:val="00685320"/>
    <w:rsid w:val="00714EE8"/>
    <w:rsid w:val="00751A01"/>
    <w:rsid w:val="007B2AA0"/>
    <w:rsid w:val="007F30AB"/>
    <w:rsid w:val="00853D3A"/>
    <w:rsid w:val="008E61F4"/>
    <w:rsid w:val="00941907"/>
    <w:rsid w:val="009979D5"/>
    <w:rsid w:val="009D6F3E"/>
    <w:rsid w:val="009F6305"/>
    <w:rsid w:val="00BD05A9"/>
    <w:rsid w:val="00BE6B5A"/>
    <w:rsid w:val="00C0431B"/>
    <w:rsid w:val="00C95A90"/>
    <w:rsid w:val="00E56E16"/>
    <w:rsid w:val="00F2295E"/>
    <w:rsid w:val="00F57858"/>
    <w:rsid w:val="00F965AA"/>
    <w:rsid w:val="00FD587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9D5"/>
    <w:pPr>
      <w:spacing w:after="0" w:line="240" w:lineRule="auto"/>
    </w:pPr>
    <w:rPr>
      <w:rFonts w:ascii="Times New Roman" w:eastAsia="Times New Roman" w:hAnsi="Times New Roman" w:cs="Times New Roman"/>
      <w:sz w:val="24"/>
      <w:szCs w:val="20"/>
      <w:lang w:val="es-E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rsid w:val="009979D5"/>
    <w:pPr>
      <w:spacing w:after="101" w:line="216" w:lineRule="exact"/>
      <w:ind w:firstLine="288"/>
      <w:jc w:val="both"/>
    </w:pPr>
    <w:rPr>
      <w:rFonts w:ascii="Arial" w:hAnsi="Arial"/>
      <w:sz w:val="18"/>
    </w:rPr>
  </w:style>
  <w:style w:type="character" w:customStyle="1" w:styleId="TextoCar">
    <w:name w:val="Texto Car"/>
    <w:link w:val="Texto"/>
    <w:locked/>
    <w:rsid w:val="009979D5"/>
    <w:rPr>
      <w:rFonts w:ascii="Arial" w:eastAsia="Times New Roman" w:hAnsi="Arial" w:cs="Times New Roman"/>
      <w:sz w:val="18"/>
      <w:szCs w:val="20"/>
      <w:lang w:val="es-ES" w:eastAsia="es-MX"/>
    </w:rPr>
  </w:style>
</w:styles>
</file>

<file path=word/webSettings.xml><?xml version="1.0" encoding="utf-8"?>
<w:webSettings xmlns:r="http://schemas.openxmlformats.org/officeDocument/2006/relationships" xmlns:w="http://schemas.openxmlformats.org/wordprocessingml/2006/main">
  <w:divs>
    <w:div w:id="125440141">
      <w:bodyDiv w:val="1"/>
      <w:marLeft w:val="0"/>
      <w:marRight w:val="0"/>
      <w:marTop w:val="0"/>
      <w:marBottom w:val="0"/>
      <w:divBdr>
        <w:top w:val="none" w:sz="0" w:space="0" w:color="auto"/>
        <w:left w:val="none" w:sz="0" w:space="0" w:color="auto"/>
        <w:bottom w:val="none" w:sz="0" w:space="0" w:color="auto"/>
        <w:right w:val="none" w:sz="0" w:space="0" w:color="auto"/>
      </w:divBdr>
    </w:div>
    <w:div w:id="781148190">
      <w:bodyDiv w:val="1"/>
      <w:marLeft w:val="0"/>
      <w:marRight w:val="0"/>
      <w:marTop w:val="0"/>
      <w:marBottom w:val="0"/>
      <w:divBdr>
        <w:top w:val="none" w:sz="0" w:space="0" w:color="auto"/>
        <w:left w:val="none" w:sz="0" w:space="0" w:color="auto"/>
        <w:bottom w:val="none" w:sz="0" w:space="0" w:color="auto"/>
        <w:right w:val="none" w:sz="0" w:space="0" w:color="auto"/>
      </w:divBdr>
    </w:div>
    <w:div w:id="1197162782">
      <w:bodyDiv w:val="1"/>
      <w:marLeft w:val="0"/>
      <w:marRight w:val="0"/>
      <w:marTop w:val="0"/>
      <w:marBottom w:val="0"/>
      <w:divBdr>
        <w:top w:val="none" w:sz="0" w:space="0" w:color="auto"/>
        <w:left w:val="none" w:sz="0" w:space="0" w:color="auto"/>
        <w:bottom w:val="none" w:sz="0" w:space="0" w:color="auto"/>
        <w:right w:val="none" w:sz="0" w:space="0" w:color="auto"/>
      </w:divBdr>
    </w:div>
    <w:div w:id="1559121458">
      <w:bodyDiv w:val="1"/>
      <w:marLeft w:val="0"/>
      <w:marRight w:val="0"/>
      <w:marTop w:val="0"/>
      <w:marBottom w:val="0"/>
      <w:divBdr>
        <w:top w:val="none" w:sz="0" w:space="0" w:color="auto"/>
        <w:left w:val="none" w:sz="0" w:space="0" w:color="auto"/>
        <w:bottom w:val="none" w:sz="0" w:space="0" w:color="auto"/>
        <w:right w:val="none" w:sz="0" w:space="0" w:color="auto"/>
      </w:divBdr>
    </w:div>
    <w:div w:id="1702782304">
      <w:bodyDiv w:val="1"/>
      <w:marLeft w:val="0"/>
      <w:marRight w:val="0"/>
      <w:marTop w:val="0"/>
      <w:marBottom w:val="0"/>
      <w:divBdr>
        <w:top w:val="none" w:sz="0" w:space="0" w:color="auto"/>
        <w:left w:val="none" w:sz="0" w:space="0" w:color="auto"/>
        <w:bottom w:val="none" w:sz="0" w:space="0" w:color="auto"/>
        <w:right w:val="none" w:sz="0" w:space="0" w:color="auto"/>
      </w:divBdr>
    </w:div>
    <w:div w:id="1791505980">
      <w:bodyDiv w:val="1"/>
      <w:marLeft w:val="0"/>
      <w:marRight w:val="0"/>
      <w:marTop w:val="0"/>
      <w:marBottom w:val="0"/>
      <w:divBdr>
        <w:top w:val="none" w:sz="0" w:space="0" w:color="auto"/>
        <w:left w:val="none" w:sz="0" w:space="0" w:color="auto"/>
        <w:bottom w:val="none" w:sz="0" w:space="0" w:color="auto"/>
        <w:right w:val="none" w:sz="0" w:space="0" w:color="auto"/>
      </w:divBdr>
    </w:div>
    <w:div w:id="1899433893">
      <w:bodyDiv w:val="1"/>
      <w:marLeft w:val="0"/>
      <w:marRight w:val="0"/>
      <w:marTop w:val="0"/>
      <w:marBottom w:val="0"/>
      <w:divBdr>
        <w:top w:val="none" w:sz="0" w:space="0" w:color="auto"/>
        <w:left w:val="none" w:sz="0" w:space="0" w:color="auto"/>
        <w:bottom w:val="none" w:sz="0" w:space="0" w:color="auto"/>
        <w:right w:val="none" w:sz="0" w:space="0" w:color="auto"/>
      </w:divBdr>
    </w:div>
    <w:div w:id="211481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Pages>
  <Words>330</Words>
  <Characters>1818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dc:creator>
  <cp:lastModifiedBy>Ricardo</cp:lastModifiedBy>
  <cp:revision>16</cp:revision>
  <dcterms:created xsi:type="dcterms:W3CDTF">2016-07-30T17:04:00Z</dcterms:created>
  <dcterms:modified xsi:type="dcterms:W3CDTF">2018-07-24T15:58:00Z</dcterms:modified>
</cp:coreProperties>
</file>